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32" w:rsidRPr="007D7B32" w:rsidRDefault="007D7B32" w:rsidP="007D7B32">
      <w:pPr>
        <w:shd w:val="clear" w:color="auto" w:fill="FFFFFF"/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color w:val="3D6EA3"/>
          <w:sz w:val="24"/>
          <w:szCs w:val="24"/>
          <w:lang w:val="en-US"/>
        </w:rPr>
      </w:pPr>
      <w:r w:rsidRPr="007D7B32">
        <w:rPr>
          <w:rFonts w:ascii="Tahoma" w:eastAsia="Times New Roman" w:hAnsi="Tahoma" w:cs="Tahoma"/>
          <w:b/>
          <w:bCs/>
          <w:color w:val="3D6EA3"/>
          <w:sz w:val="24"/>
          <w:szCs w:val="24"/>
        </w:rPr>
        <w:fldChar w:fldCharType="begin"/>
      </w:r>
      <w:r w:rsidRPr="007D7B32">
        <w:rPr>
          <w:rFonts w:ascii="Tahoma" w:eastAsia="Times New Roman" w:hAnsi="Tahoma" w:cs="Tahoma"/>
          <w:b/>
          <w:bCs/>
          <w:color w:val="3D6EA3"/>
          <w:sz w:val="24"/>
          <w:szCs w:val="24"/>
          <w:lang w:val="en-US"/>
        </w:rPr>
        <w:instrText xml:space="preserve"> HYPERLINK "http://www.interlic.md/2021-02-15/hotar-rea-nr-45-din-15-februarie-2021-a-comisiei-na-ionale-extraordinare-de-sanatate-publica-65396.html" \o "Link direct catre Hotărârea nr. 45 din 15 februarie 2021 a Comisiei Naționale Extraordinare de Sănătate Publică" </w:instrText>
      </w:r>
      <w:r w:rsidRPr="007D7B32">
        <w:rPr>
          <w:rFonts w:ascii="Tahoma" w:eastAsia="Times New Roman" w:hAnsi="Tahoma" w:cs="Tahoma"/>
          <w:b/>
          <w:bCs/>
          <w:color w:val="3D6EA3"/>
          <w:sz w:val="24"/>
          <w:szCs w:val="24"/>
        </w:rPr>
        <w:fldChar w:fldCharType="separate"/>
      </w:r>
      <w:proofErr w:type="spellStart"/>
      <w:proofErr w:type="gramStart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>Hotărârea</w:t>
      </w:r>
      <w:proofErr w:type="spellEnd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 xml:space="preserve"> nr.</w:t>
      </w:r>
      <w:proofErr w:type="gramEnd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 xml:space="preserve"> 45 din 15 </w:t>
      </w:r>
      <w:proofErr w:type="spellStart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>februarie</w:t>
      </w:r>
      <w:proofErr w:type="spellEnd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 xml:space="preserve"> 2021 a </w:t>
      </w:r>
      <w:proofErr w:type="spellStart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>Naționale</w:t>
      </w:r>
      <w:proofErr w:type="spellEnd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b/>
          <w:bCs/>
          <w:color w:val="3D6EA3"/>
          <w:sz w:val="24"/>
          <w:szCs w:val="24"/>
          <w:lang w:val="en-US"/>
        </w:rPr>
        <w:t>Publică</w:t>
      </w:r>
      <w:proofErr w:type="spellEnd"/>
      <w:r w:rsidRPr="007D7B32">
        <w:rPr>
          <w:rFonts w:ascii="Tahoma" w:eastAsia="Times New Roman" w:hAnsi="Tahoma" w:cs="Tahoma"/>
          <w:b/>
          <w:bCs/>
          <w:color w:val="3D6EA3"/>
          <w:sz w:val="24"/>
          <w:szCs w:val="24"/>
        </w:rPr>
        <w:fldChar w:fldCharType="end"/>
      </w:r>
    </w:p>
    <w:p w:rsidR="007D7B32" w:rsidRPr="007D7B32" w:rsidRDefault="007D7B32" w:rsidP="007D7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32">
        <w:rPr>
          <w:rFonts w:ascii="Tahoma" w:eastAsia="Times New Roman" w:hAnsi="Tahoma" w:cs="Tahoma"/>
          <w:noProof/>
          <w:color w:val="000000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>
            <wp:extent cx="1552575" cy="1019175"/>
            <wp:effectExtent l="19050" t="0" r="9525" b="0"/>
            <wp:docPr id="1" name="Рисунок 1" descr="Hotărârea nr. 45 din 15 februarie 2021 a Comisiei Naționale Extraordinare de Sănătate Publ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ărârea nr. 45 din 15 februarie 2021 a Comisiei Naționale Extraordinare de Sănătate Public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B32" w:rsidRPr="007D7B32" w:rsidRDefault="007D7B32" w:rsidP="007D7B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en-US"/>
        </w:rPr>
      </w:pPr>
      <w:proofErr w:type="spellStart"/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temeiul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art.</w:t>
      </w:r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58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Legea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 10/2009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privind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supravegherea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stat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sănătății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(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Monitorul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Oficial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2009, nr. 67, art. 183),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modificările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ulterioare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urmare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analizei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evoluției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situației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epidemiologice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plan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internațional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constată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situația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epidemiologică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rămâne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nefavorabilă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Republica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Moldova,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până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data de 14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februarie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2021 au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fost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înregistrate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total 170 186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cazuri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dintre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care 3 651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decese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157 427 au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fost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vindecate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9 108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rămân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cazuri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active, 4 779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persoane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forme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ușoare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ale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bolii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urmează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tratament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domiciliu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3 146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persoane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sunt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spitalizate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dintre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care 282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persane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sunt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stare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extrem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gravă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1 110 –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stare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gravă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1 594 –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stare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medie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Reieșind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menționate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,</w:t>
      </w:r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>HOTĂRĂŞTE: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prelungește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până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data de 15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aprilie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2021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inclusiv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întreg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teritoriul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Republicii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Moldova,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starea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urgență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declarată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prin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 35 din 27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noiembrie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2020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posibilitatea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revizuire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termenului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dat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funcţie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evoluția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situației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epidemiologice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nivel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2.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mențin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măsurile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prevenire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control al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infecției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COVID-19,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aplicabile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nivel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prevăzute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Anexa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 35 din 27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noiembrie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2020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modificările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ulterioare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3.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mențin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măsurile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prevenire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control al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infecției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COVID-19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traversarea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frontierei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stat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sensul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intrare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Republica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Moldova, conform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Anexei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nr.1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 42 din 13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ianuarie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2021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4.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interzice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desfășurarea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activităților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unităților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/de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deservire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genurile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incluse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codul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CAEM 56.30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codul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CAEM 93.29,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indiferent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denumirea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firmă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unității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(ca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exemplu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: disco-bar, club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noapte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karaoke, night-club,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discotecă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, club etc.).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5.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interzice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desfășurarea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activităților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deservire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unitățile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alimentație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(de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tipul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restaurantelor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barurilor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cantinelor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cafenelelor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),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precum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unitățile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alimentație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amplasate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punctele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comercializare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produselor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petroliere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centrele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aeroporturi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porturi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internaționale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punctele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internaționale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trecere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frontierei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stat,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intervalul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orelor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22.00 - 07.00,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excepția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comercializării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produselor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alimentare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pachet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prin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unitățile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alimentație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orice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tip,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excluderea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posibilității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consumare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acestora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incinta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/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teritoriul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unității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6.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Punctul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10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Anexa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 35 din 27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noiembrie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2021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expune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următoarea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redacție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: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„10.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admite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organizarea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desfășurarea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evenimentelor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festive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unitățile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alimentație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lastRenderedPageBreak/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participarea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număr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mai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mic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20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invitați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respectarea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măsurilor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Instrucțiunii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privind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prevenirea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infecției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COVID-19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desfășurarea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evenimentelor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festive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unitățile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alimentație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conform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Anexei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 </w:t>
      </w:r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1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</w:t>
      </w:r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21 din 24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iulie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2020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naţionale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modificările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ulterioare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.”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7.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Punctul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4.4. </w:t>
      </w:r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din</w:t>
      </w:r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Anexa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 35 din 27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noiembrie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2021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expune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următoarea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redacție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: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„4.4.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limitarea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numărului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persoane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transportul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feroviar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rutier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trafic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raional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interraional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– la 50% din capacitate,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transportul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rutier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trafic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local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municipal –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limita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50%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capacitatea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îmbarcare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.”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8.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sistează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începând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cu 17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februarie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2021,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centrelor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nivel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zilele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sâmbătă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duminică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asigurarea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funcționării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regim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normal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unităților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comercializare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produselor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alimentare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produselor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farmaceutice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amplasate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incinta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acestora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9.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restricționează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perioada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17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februarie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2021 - 1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martie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2021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inclusiv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piețelor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care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desfășura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doar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zilele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marți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joi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sâmbătă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excepția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piețelor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agricole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10.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stabilește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agenții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economici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care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desfășoară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activități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comerț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/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prestări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servicii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spații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închise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admiterea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concomitentă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spațiul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/de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deservire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număr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limitat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clienți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reieșind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normativul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1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vizitator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/4m2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suprafață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liberă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(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suprafața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fără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echipamente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).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11.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interzice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desfășurarea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activităților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prezența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spectatorilor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incinta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cinematografelor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12.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admite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desfășurarea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activităților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prezența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spectatorilor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incinta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instituțiilor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teatral-concertistice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caselor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cultură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capacitatea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50%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numărul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locuri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mai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mult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250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spectatori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sălile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cu o capacitate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mai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mare de 500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locuri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respectarea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prevederilor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Instrucțiunii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privind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măsurile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prevenire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control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infecției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COVID-19,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aplicate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organizarea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evenimentelor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/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acțiunilor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culturale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incinta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instituțiilor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teatral-concertistice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caselor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cultură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aprobată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prin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nr. 31 din 24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septembrie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2020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naţionale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13.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dispune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conducătorilor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instituțiilor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private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stabilirea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unui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regim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flexibil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sau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special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lucru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atragerea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serviciu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personalului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strict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necesar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asigurarea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funcționalității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instituției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personalului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căruia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necesită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prezența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obligatorie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serviciu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personalul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căruia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nu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necesită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prezența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obligatorie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locul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muncă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fie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asigurată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munca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distanță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perioada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desfășurării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activității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prin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muncă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domiciliu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salariații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îndeplinesc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atribuțiile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specifice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funcției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care o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dețin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Angajatorul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este</w:t>
      </w:r>
      <w:proofErr w:type="spellEnd"/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drept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verifice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salariatului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munca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domiciliu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Modalitatea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concretă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realizare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controlului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agreată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reciproc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prin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mijloace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comunicare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electronică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Ministerele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Cancelaria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Stat,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alte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autorități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administrative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centrale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subordonate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Guvernului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structurile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organizaționale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sfera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competentă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(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autoritățile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administrative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subordine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inclusiv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serviciile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desconcentrate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aflate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subordine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precum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instituțiile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întreprinderile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stat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societățile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comerciale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cu capital integral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sau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majoritar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public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care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ministerul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Cancelaria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Stat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sau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altă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autoritate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administrativă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centrală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are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calitatea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fondator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)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organiza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desfășurarea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activității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regim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special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lucru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de la 7:30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până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16:00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lastRenderedPageBreak/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pauza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masă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la 12.00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până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12:30,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revizuire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ulterioară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funcție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situația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epidemiologică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14.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dispune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autorităților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domeniul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ordinii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continue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supravegherea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respectării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către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persoanele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fizice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juridice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măsurilor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prevenire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control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infecției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COVID-19.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15.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teritoriale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asigura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revizuirea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tuturor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/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dispozițiilor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aprobate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aducându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-le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concordanță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cu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naţionale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Republicii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Moldova.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16.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funcție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evoluția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tendința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situației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epidemiologice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</w:t>
      </w:r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infecției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COVID-19,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măsurile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restrictive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revizuite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17.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naţionale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extraordinare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sunt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executorii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autorităţile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administrației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centrale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locale,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persoanele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fizice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juridice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indiferent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domeniul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activitate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forma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juridică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organizare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18.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recomandă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reprezentanților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mass-media de </w:t>
      </w:r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</w:t>
      </w:r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informa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despre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necesitatea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respectării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stricte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măsurilor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prevenire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şi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control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infecției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COVID-19.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  <w:t xml:space="preserve">19.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Nerespectarea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măsurilor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expuse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prezenta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constituie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pericol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servi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temei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tragere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la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răspundere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contravențională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/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sau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penală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persoanelor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vinovate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proofErr w:type="gram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20.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Prezenta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Hotărâre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intră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în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vigoare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din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momentul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emiterii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se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pagina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oficială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Guvernului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.</w:t>
      </w:r>
      <w:proofErr w:type="gram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Președinte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al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, Prim-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ministru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interimar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Aureliu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CIOCOI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Vicepreședinte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al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Secretar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de stat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Ministerul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Sănătății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Muncii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și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Protecției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Sociale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Tatiana ZATÎC</w:t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br/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Secretar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al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Comisiei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, Director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interimar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al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Agenției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Naționale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pentru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Sănătate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Publică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</w:t>
      </w:r>
      <w:proofErr w:type="spellStart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>Vasile</w:t>
      </w:r>
      <w:proofErr w:type="spellEnd"/>
      <w:r w:rsidRPr="007D7B32">
        <w:rPr>
          <w:rFonts w:ascii="inherit" w:eastAsia="Times New Roman" w:hAnsi="inherit" w:cs="Tahoma"/>
          <w:color w:val="000000"/>
          <w:sz w:val="24"/>
          <w:szCs w:val="24"/>
          <w:lang w:val="en-US"/>
        </w:rPr>
        <w:t xml:space="preserve"> GUȘTIUC</w:t>
      </w:r>
    </w:p>
    <w:p w:rsidR="007D7B32" w:rsidRPr="007D7B32" w:rsidRDefault="007D7B32" w:rsidP="007D7B32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color w:val="676767"/>
          <w:sz w:val="24"/>
          <w:szCs w:val="24"/>
        </w:rPr>
      </w:pPr>
      <w:proofErr w:type="spellStart"/>
      <w:r w:rsidRPr="007D7B32">
        <w:rPr>
          <w:rFonts w:ascii="Tahoma" w:eastAsia="Times New Roman" w:hAnsi="Tahoma" w:cs="Tahoma"/>
          <w:color w:val="676767"/>
          <w:sz w:val="24"/>
          <w:szCs w:val="24"/>
        </w:rPr>
        <w:t>cuvinte-cheie</w:t>
      </w:r>
      <w:proofErr w:type="spellEnd"/>
      <w:r w:rsidRPr="007D7B32">
        <w:rPr>
          <w:rFonts w:ascii="Tahoma" w:eastAsia="Times New Roman" w:hAnsi="Tahoma" w:cs="Tahoma"/>
          <w:color w:val="676767"/>
          <w:sz w:val="24"/>
          <w:szCs w:val="24"/>
        </w:rPr>
        <w:t>:</w:t>
      </w:r>
    </w:p>
    <w:p w:rsidR="00461806" w:rsidRPr="007D7B32" w:rsidRDefault="00461806">
      <w:pPr>
        <w:rPr>
          <w:sz w:val="24"/>
          <w:szCs w:val="24"/>
        </w:rPr>
      </w:pPr>
    </w:p>
    <w:sectPr w:rsidR="00461806" w:rsidRPr="007D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B32"/>
    <w:rsid w:val="00461806"/>
    <w:rsid w:val="007D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7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B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D7B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">
    <w:name w:val="tags"/>
    <w:basedOn w:val="a"/>
    <w:rsid w:val="007D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</Words>
  <Characters>7366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2021-02-16T08:34:00Z</dcterms:created>
  <dcterms:modified xsi:type="dcterms:W3CDTF">2021-02-16T08:36:00Z</dcterms:modified>
</cp:coreProperties>
</file>